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0" w:rsidRPr="00B07282" w:rsidRDefault="00D65120" w:rsidP="00D65120">
      <w:pPr>
        <w:pStyle w:val="a5"/>
        <w:tabs>
          <w:tab w:val="left" w:pos="9180"/>
        </w:tabs>
        <w:rPr>
          <w:sz w:val="26"/>
          <w:szCs w:val="26"/>
        </w:rPr>
      </w:pPr>
      <w:r w:rsidRPr="00B07282">
        <w:rPr>
          <w:sz w:val="26"/>
          <w:szCs w:val="26"/>
        </w:rPr>
        <w:t>Аналитическая справка</w:t>
      </w:r>
    </w:p>
    <w:p w:rsidR="00D65120" w:rsidRPr="00B07282" w:rsidRDefault="00D65120" w:rsidP="00D65120">
      <w:pPr>
        <w:pStyle w:val="a5"/>
        <w:tabs>
          <w:tab w:val="left" w:pos="9180"/>
        </w:tabs>
        <w:rPr>
          <w:sz w:val="26"/>
          <w:szCs w:val="26"/>
        </w:rPr>
      </w:pPr>
      <w:r w:rsidRPr="00B07282">
        <w:rPr>
          <w:sz w:val="26"/>
          <w:szCs w:val="26"/>
        </w:rPr>
        <w:t>о состоянии детского дорожно-транспортного травматизма</w:t>
      </w:r>
    </w:p>
    <w:p w:rsidR="00D65120" w:rsidRPr="00B07282" w:rsidRDefault="00D65120" w:rsidP="00D65120">
      <w:pPr>
        <w:pStyle w:val="a5"/>
        <w:tabs>
          <w:tab w:val="left" w:pos="9180"/>
        </w:tabs>
        <w:rPr>
          <w:sz w:val="26"/>
          <w:szCs w:val="26"/>
        </w:rPr>
      </w:pPr>
      <w:r w:rsidRPr="00B07282">
        <w:rPr>
          <w:sz w:val="26"/>
          <w:szCs w:val="26"/>
        </w:rPr>
        <w:t>в городе Нижний Тагил и Горноуральском городском округе</w:t>
      </w:r>
    </w:p>
    <w:p w:rsidR="00D65120" w:rsidRDefault="00260A51" w:rsidP="00D65120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за 8 месяцев 2024</w:t>
      </w:r>
      <w:r w:rsidR="00042F12">
        <w:rPr>
          <w:sz w:val="26"/>
          <w:szCs w:val="26"/>
        </w:rPr>
        <w:t xml:space="preserve"> года</w:t>
      </w:r>
    </w:p>
    <w:p w:rsidR="00042F12" w:rsidRPr="00B07282" w:rsidRDefault="00042F12" w:rsidP="00D65120">
      <w:pPr>
        <w:pStyle w:val="a5"/>
        <w:tabs>
          <w:tab w:val="left" w:pos="9180"/>
        </w:tabs>
        <w:rPr>
          <w:sz w:val="26"/>
          <w:szCs w:val="26"/>
        </w:rPr>
      </w:pPr>
    </w:p>
    <w:p w:rsidR="00B07282" w:rsidRPr="00B07282" w:rsidRDefault="00B07282" w:rsidP="00DD7D35">
      <w:pPr>
        <w:shd w:val="clear" w:color="auto" w:fill="FFFFFF"/>
        <w:suppressAutoHyphens/>
        <w:ind w:right="-426" w:firstLine="708"/>
        <w:jc w:val="both"/>
        <w:rPr>
          <w:rFonts w:eastAsia="Calibri"/>
          <w:sz w:val="26"/>
          <w:szCs w:val="26"/>
          <w:lang w:eastAsia="en-US"/>
        </w:rPr>
      </w:pPr>
      <w:r w:rsidRPr="00B07282">
        <w:rPr>
          <w:sz w:val="26"/>
          <w:szCs w:val="26"/>
        </w:rPr>
        <w:t xml:space="preserve">По итогам июня 2024 года на территории обслуживания МУ МВД России «Нижнетагильское» отмечено  снижение детского </w:t>
      </w:r>
      <w:proofErr w:type="spellStart"/>
      <w:r w:rsidRPr="00B07282">
        <w:rPr>
          <w:sz w:val="26"/>
          <w:szCs w:val="26"/>
        </w:rPr>
        <w:t>дорожно</w:t>
      </w:r>
      <w:proofErr w:type="spellEnd"/>
      <w:r w:rsidRPr="00B07282">
        <w:rPr>
          <w:sz w:val="26"/>
          <w:szCs w:val="26"/>
        </w:rPr>
        <w:t xml:space="preserve"> – транспортного травматизма. </w:t>
      </w:r>
      <w:r w:rsidRPr="00B07282">
        <w:rPr>
          <w:rFonts w:eastAsia="Calibri"/>
          <w:sz w:val="26"/>
          <w:szCs w:val="26"/>
          <w:lang w:eastAsia="en-US"/>
        </w:rPr>
        <w:t xml:space="preserve">С участием детей в возрасте до 16 лет зарегистрированы 27 ДТП (АППГ- 34, -22,9%), в которых ранен 31 ребенок (АППГ- 36, -16,2 %), гибели детей не допущено (АППГ-0, </w:t>
      </w:r>
      <w:proofErr w:type="spellStart"/>
      <w:r w:rsidRPr="00B07282">
        <w:rPr>
          <w:rFonts w:eastAsia="Calibri"/>
          <w:sz w:val="26"/>
          <w:szCs w:val="26"/>
          <w:lang w:eastAsia="en-US"/>
        </w:rPr>
        <w:t>стаб</w:t>
      </w:r>
      <w:proofErr w:type="spellEnd"/>
      <w:r w:rsidRPr="00B07282">
        <w:rPr>
          <w:rFonts w:eastAsia="Calibri"/>
          <w:sz w:val="26"/>
          <w:szCs w:val="26"/>
          <w:lang w:eastAsia="en-US"/>
        </w:rPr>
        <w:t xml:space="preserve">). </w:t>
      </w:r>
    </w:p>
    <w:p w:rsidR="00B07282" w:rsidRPr="00B07282" w:rsidRDefault="00B07282" w:rsidP="00DD7D35">
      <w:pPr>
        <w:shd w:val="clear" w:color="auto" w:fill="FFFFFF"/>
        <w:suppressAutoHyphens/>
        <w:ind w:right="-426" w:firstLine="708"/>
        <w:jc w:val="both"/>
        <w:rPr>
          <w:sz w:val="26"/>
          <w:szCs w:val="26"/>
          <w:shd w:val="clear" w:color="auto" w:fill="FFFFFF"/>
        </w:rPr>
      </w:pPr>
      <w:r w:rsidRPr="00B07282">
        <w:rPr>
          <w:sz w:val="26"/>
          <w:szCs w:val="26"/>
          <w:shd w:val="clear" w:color="auto" w:fill="FFFFFF"/>
        </w:rPr>
        <w:t xml:space="preserve">Основная масса ДТП произошли с участием </w:t>
      </w:r>
      <w:r w:rsidRPr="00B07282">
        <w:rPr>
          <w:b/>
          <w:sz w:val="26"/>
          <w:szCs w:val="26"/>
          <w:shd w:val="clear" w:color="auto" w:fill="FFFFFF"/>
        </w:rPr>
        <w:t>детей-пассажи</w:t>
      </w:r>
      <w:bookmarkStart w:id="0" w:name="_GoBack"/>
      <w:bookmarkEnd w:id="0"/>
      <w:r w:rsidRPr="00B07282">
        <w:rPr>
          <w:b/>
          <w:sz w:val="26"/>
          <w:szCs w:val="26"/>
          <w:shd w:val="clear" w:color="auto" w:fill="FFFFFF"/>
        </w:rPr>
        <w:t xml:space="preserve">ров. </w:t>
      </w:r>
      <w:r w:rsidRPr="00B07282">
        <w:rPr>
          <w:rFonts w:eastAsia="Calibri"/>
          <w:sz w:val="26"/>
          <w:szCs w:val="26"/>
          <w:lang w:eastAsia="en-US"/>
        </w:rPr>
        <w:t xml:space="preserve">Зарегистрированы 12 ДТП (АППГ- 17, -33,3%), в которых травмированы 16 детей (АППГ- 19, -20%). </w:t>
      </w:r>
      <w:r w:rsidR="00DD7D35" w:rsidRPr="00DD7D35">
        <w:rPr>
          <w:sz w:val="26"/>
          <w:szCs w:val="26"/>
          <w:shd w:val="clear" w:color="auto" w:fill="FFFFFF"/>
        </w:rPr>
        <w:t xml:space="preserve">При этом </w:t>
      </w:r>
      <w:r w:rsidRPr="00B07282">
        <w:rPr>
          <w:rFonts w:eastAsia="Calibri"/>
          <w:sz w:val="26"/>
          <w:szCs w:val="26"/>
          <w:lang w:eastAsia="en-US"/>
        </w:rPr>
        <w:t xml:space="preserve">3 ДТП </w:t>
      </w:r>
      <w:r w:rsidR="00DD7D35" w:rsidRPr="00DD7D35">
        <w:rPr>
          <w:rFonts w:eastAsia="Calibri"/>
          <w:sz w:val="26"/>
          <w:szCs w:val="26"/>
          <w:lang w:eastAsia="en-US"/>
        </w:rPr>
        <w:t xml:space="preserve">произошло </w:t>
      </w:r>
      <w:r w:rsidRPr="00B07282">
        <w:rPr>
          <w:rFonts w:eastAsia="Calibri"/>
          <w:sz w:val="26"/>
          <w:szCs w:val="26"/>
          <w:lang w:eastAsia="en-US"/>
        </w:rPr>
        <w:t>с нарушением правил перевозки детей (АППГ-1, +200%), в них 4 ребенка получили травмы (АППГ -1, +300%).</w:t>
      </w:r>
      <w:r w:rsidR="00DD7D35" w:rsidRPr="00DD7D35">
        <w:rPr>
          <w:rFonts w:eastAsia="Calibri"/>
          <w:sz w:val="26"/>
          <w:szCs w:val="26"/>
          <w:lang w:eastAsia="en-US"/>
        </w:rPr>
        <w:t xml:space="preserve"> </w:t>
      </w:r>
    </w:p>
    <w:p w:rsidR="00B07282" w:rsidRPr="00B07282" w:rsidRDefault="00B07282" w:rsidP="00042F12">
      <w:pPr>
        <w:shd w:val="clear" w:color="auto" w:fill="FFFFFF"/>
        <w:suppressAutoHyphens/>
        <w:ind w:right="-426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 </w:t>
      </w:r>
      <w:r w:rsidRPr="00B07282">
        <w:rPr>
          <w:rFonts w:eastAsia="Calibri"/>
          <w:sz w:val="26"/>
          <w:szCs w:val="26"/>
          <w:lang w:eastAsia="en-US"/>
        </w:rPr>
        <w:t xml:space="preserve">участием </w:t>
      </w:r>
      <w:r w:rsidRPr="00B07282">
        <w:rPr>
          <w:rFonts w:eastAsia="Calibri"/>
          <w:b/>
          <w:sz w:val="26"/>
          <w:szCs w:val="26"/>
          <w:lang w:eastAsia="en-US"/>
        </w:rPr>
        <w:t>детей-пешеходов</w:t>
      </w:r>
      <w:r w:rsidRPr="00B07282">
        <w:rPr>
          <w:rFonts w:eastAsia="Calibri"/>
          <w:sz w:val="26"/>
          <w:szCs w:val="26"/>
          <w:lang w:eastAsia="en-US"/>
        </w:rPr>
        <w:t xml:space="preserve"> зарегистрированы 3 ДТП (АППГ- 10, -70%), в которых травмировалось 3 детей (АППГ- 10, -70%).</w:t>
      </w:r>
      <w:r w:rsidRPr="00B07282">
        <w:rPr>
          <w:sz w:val="26"/>
          <w:szCs w:val="26"/>
          <w:shd w:val="clear" w:color="auto" w:fill="FFFFFF"/>
        </w:rPr>
        <w:t xml:space="preserve"> Из них 2 наезда произошли на нерегулируемых пешеходных переходах (АППГ-3). В целом на 100% отмечено снижение фактов ДТП по собственной неосторожности детей – пешеходов (АППГ -7, - 100%). </w:t>
      </w:r>
    </w:p>
    <w:p w:rsidR="00B07282" w:rsidRPr="00B07282" w:rsidRDefault="00B07282" w:rsidP="00DD7D35">
      <w:pPr>
        <w:shd w:val="clear" w:color="auto" w:fill="FFFFFF"/>
        <w:suppressAutoHyphens/>
        <w:ind w:right="-426" w:firstLine="708"/>
        <w:jc w:val="both"/>
        <w:rPr>
          <w:sz w:val="26"/>
          <w:szCs w:val="26"/>
          <w:shd w:val="clear" w:color="auto" w:fill="FFFFFF"/>
        </w:rPr>
      </w:pPr>
      <w:r w:rsidRPr="00B07282">
        <w:rPr>
          <w:rFonts w:eastAsia="Calibri"/>
          <w:sz w:val="26"/>
          <w:szCs w:val="26"/>
          <w:lang w:eastAsia="en-US"/>
        </w:rPr>
        <w:t xml:space="preserve">С участием </w:t>
      </w:r>
      <w:r w:rsidRPr="00B07282">
        <w:rPr>
          <w:rFonts w:eastAsia="Calibri"/>
          <w:b/>
          <w:sz w:val="26"/>
          <w:szCs w:val="26"/>
          <w:lang w:eastAsia="en-US"/>
        </w:rPr>
        <w:t>детей-велосипедистов</w:t>
      </w:r>
      <w:r w:rsidRPr="00B07282">
        <w:rPr>
          <w:rFonts w:eastAsia="Calibri"/>
          <w:sz w:val="26"/>
          <w:szCs w:val="26"/>
          <w:lang w:eastAsia="en-US"/>
        </w:rPr>
        <w:t xml:space="preserve"> зарегистрировано 5 ДТП (АППГ-4, +25%.), в котором травмированы 5 детей (</w:t>
      </w:r>
      <w:r w:rsidRPr="00B07282">
        <w:rPr>
          <w:rFonts w:eastAsia="Calibri"/>
          <w:color w:val="000000"/>
          <w:sz w:val="26"/>
          <w:szCs w:val="26"/>
          <w:lang w:eastAsia="en-US"/>
        </w:rPr>
        <w:t>АППГ-4, +25%)</w:t>
      </w:r>
      <w:r w:rsidRPr="00B07282">
        <w:rPr>
          <w:sz w:val="26"/>
          <w:szCs w:val="26"/>
          <w:shd w:val="clear" w:color="auto" w:fill="FFFFFF"/>
        </w:rPr>
        <w:t>. Все ДТП произошли по вине детей-велосипедистов.</w:t>
      </w:r>
    </w:p>
    <w:p w:rsidR="00B07282" w:rsidRPr="00B07282" w:rsidRDefault="00B07282" w:rsidP="00DD7D35">
      <w:pPr>
        <w:shd w:val="clear" w:color="auto" w:fill="FFFFFF"/>
        <w:suppressAutoHyphens/>
        <w:ind w:right="-426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</w:t>
      </w:r>
      <w:r w:rsidRPr="00B07282">
        <w:rPr>
          <w:sz w:val="26"/>
          <w:szCs w:val="26"/>
          <w:shd w:val="clear" w:color="auto" w:fill="FFFFFF"/>
        </w:rPr>
        <w:t xml:space="preserve">о итогам августа произошло 5 ДТП с участием </w:t>
      </w:r>
      <w:r w:rsidR="00E86662" w:rsidRPr="00E86662">
        <w:rPr>
          <w:b/>
          <w:sz w:val="26"/>
          <w:szCs w:val="26"/>
          <w:shd w:val="clear" w:color="auto" w:fill="FFFFFF"/>
        </w:rPr>
        <w:t>несовершеннолетних водителей мототранспорта</w:t>
      </w:r>
      <w:r w:rsidRPr="00B07282">
        <w:rPr>
          <w:b/>
          <w:sz w:val="26"/>
          <w:szCs w:val="26"/>
          <w:shd w:val="clear" w:color="auto" w:fill="FFFFFF"/>
        </w:rPr>
        <w:t xml:space="preserve"> </w:t>
      </w:r>
      <w:r w:rsidRPr="00B07282">
        <w:rPr>
          <w:sz w:val="26"/>
          <w:szCs w:val="26"/>
          <w:shd w:val="clear" w:color="auto" w:fill="FFFFFF"/>
        </w:rPr>
        <w:t>(АППГ-3, +66,7%), в которых травмировалось 5 подростков – водителей (АППГ- 3, +66,7%). В 3 –х случаях родители зн</w:t>
      </w:r>
      <w:r>
        <w:rPr>
          <w:sz w:val="26"/>
          <w:szCs w:val="26"/>
          <w:shd w:val="clear" w:color="auto" w:fill="FFFFFF"/>
        </w:rPr>
        <w:t>али о навыках управления детей и разрешали управление тс.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B07282" w:rsidRPr="00B07282" w:rsidTr="00260A5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2024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2023 год</w:t>
            </w:r>
          </w:p>
        </w:tc>
      </w:tr>
      <w:tr w:rsidR="00B07282" w:rsidRPr="00B07282" w:rsidTr="00260A5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травм.</w:t>
            </w:r>
          </w:p>
        </w:tc>
      </w:tr>
      <w:tr w:rsidR="00B07282" w:rsidRPr="00B07282" w:rsidTr="00260A5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11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12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14</w:t>
            </w:r>
          </w:p>
        </w:tc>
      </w:tr>
      <w:tr w:rsidR="00B07282" w:rsidRPr="00B07282" w:rsidTr="00260A5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9</w:t>
            </w:r>
          </w:p>
        </w:tc>
      </w:tr>
      <w:tr w:rsidR="00B07282" w:rsidRPr="00B07282" w:rsidTr="00260A5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5</w:t>
            </w:r>
          </w:p>
        </w:tc>
      </w:tr>
      <w:tr w:rsidR="00B07282" w:rsidRPr="00B07282" w:rsidTr="00260A5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13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8</w:t>
            </w:r>
          </w:p>
        </w:tc>
      </w:tr>
      <w:tr w:rsidR="00B07282" w:rsidRPr="00B07282" w:rsidTr="00260A51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27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31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34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B0728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282" w:rsidRPr="00B07282" w:rsidRDefault="00B07282" w:rsidP="00B07282">
            <w:pPr>
              <w:tabs>
                <w:tab w:val="left" w:pos="9180"/>
              </w:tabs>
              <w:suppressAutoHyphens/>
              <w:jc w:val="center"/>
              <w:rPr>
                <w:sz w:val="26"/>
                <w:szCs w:val="26"/>
              </w:rPr>
            </w:pPr>
            <w:r w:rsidRPr="00B07282">
              <w:rPr>
                <w:sz w:val="26"/>
                <w:szCs w:val="26"/>
              </w:rPr>
              <w:t>36</w:t>
            </w:r>
          </w:p>
        </w:tc>
      </w:tr>
    </w:tbl>
    <w:p w:rsidR="001248B6" w:rsidRDefault="001248B6" w:rsidP="00042F12">
      <w:pPr>
        <w:pStyle w:val="a3"/>
        <w:tabs>
          <w:tab w:val="left" w:pos="9180"/>
        </w:tabs>
        <w:spacing w:before="0" w:beforeAutospacing="0" w:after="0" w:afterAutospacing="0"/>
        <w:ind w:right="-545" w:firstLine="709"/>
        <w:jc w:val="both"/>
        <w:rPr>
          <w:color w:val="000000"/>
          <w:sz w:val="27"/>
          <w:szCs w:val="27"/>
        </w:rPr>
      </w:pPr>
      <w:r w:rsidRPr="00042F12">
        <w:rPr>
          <w:b/>
          <w:color w:val="000000" w:themeColor="text1"/>
          <w:sz w:val="27"/>
          <w:szCs w:val="27"/>
          <w:u w:val="single"/>
        </w:rPr>
        <w:t>В связи с началом нового учебного года</w:t>
      </w:r>
      <w:r w:rsidRPr="001248B6">
        <w:rPr>
          <w:b/>
          <w:color w:val="000000"/>
          <w:sz w:val="27"/>
          <w:szCs w:val="27"/>
          <w:u w:val="single"/>
        </w:rPr>
        <w:t xml:space="preserve"> </w:t>
      </w:r>
      <w:r w:rsidRPr="001248B6">
        <w:rPr>
          <w:b/>
          <w:color w:val="000000"/>
          <w:sz w:val="27"/>
          <w:szCs w:val="27"/>
        </w:rPr>
        <w:t xml:space="preserve">обратить внимание родителей </w:t>
      </w:r>
      <w:r w:rsidR="00B07282">
        <w:rPr>
          <w:b/>
          <w:color w:val="000000"/>
          <w:sz w:val="27"/>
          <w:szCs w:val="27"/>
        </w:rPr>
        <w:t xml:space="preserve">необходимо </w:t>
      </w:r>
      <w:r w:rsidRPr="001248B6">
        <w:rPr>
          <w:b/>
          <w:color w:val="000000"/>
          <w:sz w:val="27"/>
          <w:szCs w:val="27"/>
        </w:rPr>
        <w:t xml:space="preserve">на </w:t>
      </w:r>
      <w:r w:rsidR="00E86662">
        <w:rPr>
          <w:b/>
          <w:color w:val="000000"/>
          <w:sz w:val="27"/>
          <w:szCs w:val="27"/>
        </w:rPr>
        <w:t xml:space="preserve">обязательные </w:t>
      </w:r>
      <w:r w:rsidRPr="001248B6">
        <w:rPr>
          <w:b/>
          <w:color w:val="000000"/>
          <w:sz w:val="27"/>
          <w:szCs w:val="27"/>
        </w:rPr>
        <w:t>м</w:t>
      </w:r>
      <w:r w:rsidR="00E86662">
        <w:rPr>
          <w:b/>
          <w:color w:val="000000"/>
          <w:sz w:val="27"/>
          <w:szCs w:val="27"/>
        </w:rPr>
        <w:t>аршруты следования своих детей «Дом-школа-Дом»</w:t>
      </w:r>
      <w:r w:rsidR="00B07282">
        <w:rPr>
          <w:b/>
          <w:color w:val="000000"/>
          <w:sz w:val="27"/>
          <w:szCs w:val="27"/>
        </w:rPr>
        <w:t xml:space="preserve">. </w:t>
      </w:r>
      <w:r w:rsidR="00E86662">
        <w:rPr>
          <w:color w:val="000000"/>
          <w:sz w:val="27"/>
          <w:szCs w:val="27"/>
        </w:rPr>
        <w:t>На маршруте должен быть указан безопасный путь движения ребенка. Пройдите по маршруту вместе со школьником, обсудив опасные участки и правильный алгоритм движения через проезжую часть.</w:t>
      </w:r>
      <w:r w:rsidRPr="001248B6">
        <w:rPr>
          <w:color w:val="000000"/>
          <w:sz w:val="27"/>
          <w:szCs w:val="27"/>
        </w:rPr>
        <w:t xml:space="preserve"> </w:t>
      </w:r>
    </w:p>
    <w:p w:rsidR="00E86662" w:rsidRPr="001248B6" w:rsidRDefault="00DD7D35" w:rsidP="00042F12">
      <w:pPr>
        <w:pStyle w:val="a3"/>
        <w:tabs>
          <w:tab w:val="left" w:pos="9180"/>
        </w:tabs>
        <w:spacing w:before="0" w:beforeAutospacing="0" w:after="0" w:afterAutospacing="0"/>
        <w:ind w:right="-545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Ежедневно детям нужно н</w:t>
      </w:r>
      <w:r w:rsidR="00E86662">
        <w:rPr>
          <w:color w:val="000000"/>
          <w:sz w:val="27"/>
          <w:szCs w:val="27"/>
        </w:rPr>
        <w:t>апоминать и о п</w:t>
      </w:r>
      <w:r>
        <w:rPr>
          <w:color w:val="000000"/>
          <w:sz w:val="27"/>
          <w:szCs w:val="27"/>
        </w:rPr>
        <w:t>равилах управления велосипедами, а также СИМ.</w:t>
      </w:r>
    </w:p>
    <w:p w:rsidR="008058CE" w:rsidRPr="00B07282" w:rsidRDefault="001248B6" w:rsidP="00042F12">
      <w:pPr>
        <w:ind w:right="-426" w:firstLine="709"/>
        <w:jc w:val="both"/>
        <w:rPr>
          <w:b/>
          <w:color w:val="000000"/>
          <w:sz w:val="27"/>
          <w:szCs w:val="27"/>
        </w:rPr>
      </w:pPr>
      <w:r w:rsidRPr="001248B6">
        <w:rPr>
          <w:b/>
          <w:color w:val="000000"/>
          <w:sz w:val="27"/>
          <w:szCs w:val="27"/>
        </w:rPr>
        <w:t xml:space="preserve">В Госавтоинспекции Нижнего Тагила отмечают значительный рост несовершеннолетних водителей в возрасте от 12 до 18 лет, которые управляют различными транспортными средствами (автомобилями, </w:t>
      </w:r>
      <w:proofErr w:type="spellStart"/>
      <w:r w:rsidRPr="001248B6">
        <w:rPr>
          <w:b/>
          <w:color w:val="000000"/>
          <w:sz w:val="27"/>
          <w:szCs w:val="27"/>
        </w:rPr>
        <w:t>квадроциклами</w:t>
      </w:r>
      <w:proofErr w:type="spellEnd"/>
      <w:r w:rsidRPr="001248B6">
        <w:rPr>
          <w:b/>
          <w:color w:val="000000"/>
          <w:sz w:val="27"/>
          <w:szCs w:val="27"/>
        </w:rPr>
        <w:t xml:space="preserve">, мотоциклами, мопедами) без права управления. Законные представители должны осуществлять надлежащий контроль за досугом несовершеннолетних, хранить ключи </w:t>
      </w:r>
      <w:proofErr w:type="gramStart"/>
      <w:r w:rsidRPr="001248B6">
        <w:rPr>
          <w:b/>
          <w:color w:val="000000"/>
          <w:sz w:val="27"/>
          <w:szCs w:val="27"/>
        </w:rPr>
        <w:t>от</w:t>
      </w:r>
      <w:proofErr w:type="gramEnd"/>
      <w:r w:rsidRPr="001248B6">
        <w:rPr>
          <w:b/>
          <w:color w:val="000000"/>
          <w:sz w:val="27"/>
          <w:szCs w:val="27"/>
        </w:rPr>
        <w:t xml:space="preserve"> тс в недоступном для детей месте. За передачу управления тс лицу, заведомо не имеющему права управления тс, влечет административную ответственность по ч.3 ст.12.7 КоАП РФ, предусматривающее административное наказание в виде штрафа в размере 30.000 рублей.</w:t>
      </w:r>
    </w:p>
    <w:sectPr w:rsidR="008058CE" w:rsidRPr="00B07282" w:rsidSect="00042F12">
      <w:pgSz w:w="11906" w:h="16838"/>
      <w:pgMar w:top="56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20"/>
    <w:rsid w:val="00042F12"/>
    <w:rsid w:val="001248B6"/>
    <w:rsid w:val="001D528E"/>
    <w:rsid w:val="00260A51"/>
    <w:rsid w:val="008058CE"/>
    <w:rsid w:val="00A4191E"/>
    <w:rsid w:val="00AD0B94"/>
    <w:rsid w:val="00B07282"/>
    <w:rsid w:val="00B64F87"/>
    <w:rsid w:val="00D65120"/>
    <w:rsid w:val="00DD7D35"/>
    <w:rsid w:val="00E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12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512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D65120"/>
    <w:rPr>
      <w:b/>
      <w:sz w:val="22"/>
      <w:lang w:val="ru-RU" w:eastAsia="ru-RU" w:bidi="ar-SA"/>
    </w:rPr>
  </w:style>
  <w:style w:type="paragraph" w:styleId="a5">
    <w:name w:val="Body Text"/>
    <w:basedOn w:val="a"/>
    <w:link w:val="a4"/>
    <w:rsid w:val="00D65120"/>
    <w:pPr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12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512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D65120"/>
    <w:rPr>
      <w:b/>
      <w:sz w:val="22"/>
      <w:lang w:val="ru-RU" w:eastAsia="ru-RU" w:bidi="ar-SA"/>
    </w:rPr>
  </w:style>
  <w:style w:type="paragraph" w:styleId="a5">
    <w:name w:val="Body Text"/>
    <w:basedOn w:val="a"/>
    <w:link w:val="a4"/>
    <w:rsid w:val="00D65120"/>
    <w:pPr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6F6F-FC2B-4C49-A3D3-359F9FB0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MoBIL GROUP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gai</dc:creator>
  <cp:lastModifiedBy>Вакансия - Козлова Е.В.</cp:lastModifiedBy>
  <cp:revision>2</cp:revision>
  <dcterms:created xsi:type="dcterms:W3CDTF">2024-09-10T08:49:00Z</dcterms:created>
  <dcterms:modified xsi:type="dcterms:W3CDTF">2024-09-10T08:49:00Z</dcterms:modified>
</cp:coreProperties>
</file>